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spacing w:line="432" w:lineRule="atLeast"/>
        <w:ind w:firstLine="0"/>
        <w:jc w:val="both"/>
        <w:rPr>
          <w:rFonts w:hint="default" w:ascii="宋体" w:hAnsi="宋体" w:eastAsia="宋体"/>
          <w:b w:val="0"/>
          <w:i w:val="0"/>
          <w:snapToGrid/>
          <w:color w:val="auto"/>
          <w:sz w:val="21"/>
          <w:shd w:val="clear" w:color="auto" w:fill="FFFFFF"/>
          <w:lang w:eastAsia="zh-CN"/>
        </w:rPr>
      </w:pPr>
      <w:r>
        <w:rPr>
          <w:rFonts w:hint="default" w:ascii="宋体" w:hAnsi="宋体" w:eastAsia="宋体"/>
          <w:b/>
          <w:i w:val="0"/>
          <w:snapToGrid/>
          <w:color w:val="auto"/>
          <w:sz w:val="28"/>
          <w:shd w:val="clear" w:color="auto" w:fill="FFFFFF"/>
          <w:lang w:eastAsia="zh-CN"/>
        </w:rPr>
        <w:t>附件2</w:t>
      </w:r>
    </w:p>
    <w:p>
      <w:pPr>
        <w:shd w:val="solid" w:color="FFFFFF" w:fill="auto"/>
        <w:kinsoku/>
        <w:autoSpaceDE/>
        <w:autoSpaceDN w:val="0"/>
        <w:spacing w:line="432" w:lineRule="atLeast"/>
        <w:ind w:firstLine="0"/>
        <w:jc w:val="both"/>
        <w:rPr>
          <w:rFonts w:hint="default" w:ascii="宋体" w:hAnsi="宋体" w:eastAsia="宋体"/>
          <w:b w:val="0"/>
          <w:i w:val="0"/>
          <w:snapToGrid/>
          <w:color w:val="auto"/>
          <w:sz w:val="21"/>
          <w:shd w:val="clear" w:color="auto" w:fill="FFFFFF"/>
          <w:lang w:eastAsia="zh-CN"/>
        </w:rPr>
      </w:pPr>
    </w:p>
    <w:p>
      <w:pPr>
        <w:kinsoku/>
        <w:autoSpaceDE/>
        <w:autoSpaceDN w:val="0"/>
        <w:ind w:leftChars="0"/>
        <w:jc w:val="center"/>
        <w:rPr>
          <w:rFonts w:hint="default" w:ascii="宋体" w:hAnsi="宋体"/>
          <w:snapToGrid/>
          <w:color w:val="auto"/>
          <w:sz w:val="24"/>
        </w:rPr>
      </w:pPr>
      <w:r>
        <w:rPr>
          <w:rFonts w:hint="default" w:ascii="宋体" w:hAnsi="宋体"/>
          <w:snapToGrid/>
          <w:color w:val="auto"/>
          <w:sz w:val="36"/>
        </w:rPr>
        <w:t xml:space="preserve">国务院决定取消的 </w:t>
      </w:r>
    </w:p>
    <w:p>
      <w:pPr>
        <w:kinsoku/>
        <w:autoSpaceDE/>
        <w:autoSpaceDN w:val="0"/>
        <w:ind w:leftChars="0"/>
        <w:jc w:val="center"/>
        <w:rPr>
          <w:rFonts w:hint="default" w:ascii="宋体" w:hAnsi="宋体"/>
          <w:snapToGrid/>
          <w:color w:val="auto"/>
          <w:sz w:val="24"/>
        </w:rPr>
      </w:pPr>
      <w:r>
        <w:rPr>
          <w:rFonts w:hint="default" w:ascii="宋体" w:hAnsi="宋体"/>
          <w:snapToGrid/>
          <w:color w:val="auto"/>
          <w:sz w:val="36"/>
        </w:rPr>
        <w:t xml:space="preserve">中央指定地方实施的行政许可事项目录 </w:t>
      </w:r>
    </w:p>
    <w:p>
      <w:pPr>
        <w:kinsoku/>
        <w:autoSpaceDE/>
        <w:autoSpaceDN w:val="0"/>
        <w:ind w:leftChars="0"/>
        <w:jc w:val="center"/>
        <w:rPr>
          <w:rFonts w:hint="default" w:ascii="宋体" w:hAnsi="宋体"/>
          <w:snapToGrid/>
          <w:color w:val="auto"/>
          <w:sz w:val="24"/>
        </w:rPr>
      </w:pPr>
      <w:r>
        <w:rPr>
          <w:rFonts w:hint="default" w:ascii="宋体" w:hAnsi="宋体"/>
          <w:snapToGrid/>
          <w:color w:val="auto"/>
          <w:sz w:val="24"/>
        </w:rPr>
        <w:t>（共计12项）</w:t>
      </w:r>
    </w:p>
    <w:tbl>
      <w:tblPr>
        <w:tblStyle w:val="3"/>
        <w:tblW w:w="9076" w:type="dxa"/>
        <w:jc w:val="center"/>
        <w:tblInd w:w="-27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19"/>
        <w:gridCol w:w="1510"/>
        <w:gridCol w:w="1509"/>
        <w:gridCol w:w="1661"/>
        <w:gridCol w:w="36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8" w:hRule="atLeast"/>
          <w:jc w:val="center"/>
        </w:trPr>
        <w:tc>
          <w:tcPr>
            <w:tcW w:w="7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宋体" w:hAnsi="宋体" w:eastAsia="宋体"/>
                <w:b/>
                <w:snapToGrid/>
                <w:color w:val="auto"/>
                <w:sz w:val="21"/>
                <w:lang w:eastAsia="zh-CN"/>
              </w:rPr>
              <w:t>序号</w:t>
            </w:r>
          </w:p>
        </w:tc>
        <w:tc>
          <w:tcPr>
            <w:tcW w:w="1510" w:type="dxa"/>
            <w:tcBorders>
              <w:left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宋体" w:hAnsi="宋体" w:eastAsia="宋体"/>
                <w:b/>
                <w:snapToGrid/>
                <w:color w:val="auto"/>
                <w:sz w:val="21"/>
                <w:lang w:eastAsia="zh-CN"/>
              </w:rPr>
              <w:t>项目名称</w:t>
            </w:r>
          </w:p>
        </w:tc>
        <w:tc>
          <w:tcPr>
            <w:tcW w:w="1509" w:type="dxa"/>
            <w:tcBorders>
              <w:left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宋体" w:hAnsi="宋体" w:eastAsia="宋体"/>
                <w:b/>
                <w:snapToGrid/>
                <w:color w:val="auto"/>
                <w:sz w:val="21"/>
                <w:lang w:eastAsia="zh-CN"/>
              </w:rPr>
              <w:t>审批部门</w:t>
            </w:r>
          </w:p>
        </w:tc>
        <w:tc>
          <w:tcPr>
            <w:tcW w:w="1661" w:type="dxa"/>
            <w:tcBorders>
              <w:left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宋体" w:hAnsi="宋体" w:eastAsia="宋体"/>
                <w:b/>
                <w:snapToGrid/>
                <w:color w:val="auto"/>
                <w:sz w:val="21"/>
                <w:lang w:eastAsia="zh-CN"/>
              </w:rPr>
              <w:t>设定依据</w:t>
            </w:r>
          </w:p>
        </w:tc>
        <w:tc>
          <w:tcPr>
            <w:tcW w:w="3677" w:type="dxa"/>
            <w:tcBorders>
              <w:left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宋体" w:hAnsi="宋体" w:eastAsia="宋体"/>
                <w:b/>
                <w:snapToGrid/>
                <w:color w:val="auto"/>
                <w:sz w:val="21"/>
                <w:lang w:eastAsia="zh-CN"/>
              </w:rPr>
              <w:t>加强事中事后监管措施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1</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地质勘查资质审批</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省级国土资源主管部门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《地质勘查资质管理条例》</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取消审批后，国土资源部要制定开展地质勘查的标准和规范，并督促地方国土资源主管部门通过以下措施加强事中事后监管：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．全面掌握地质勘查单位信息，要求其按照标准规范开展工作。</w:t>
            </w:r>
            <w:r>
              <w:rPr>
                <w:rFonts w:hint="default" w:ascii="Calibri" w:hAnsi="宋体"/>
                <w:snapToGrid/>
                <w:color w:val="auto"/>
                <w:sz w:val="21"/>
              </w:rPr>
              <w:t>2</w:t>
            </w:r>
            <w:r>
              <w:rPr>
                <w:rFonts w:hint="default" w:ascii="宋体" w:hAnsi="宋体" w:eastAsia="宋体"/>
                <w:snapToGrid/>
                <w:color w:val="auto"/>
                <w:sz w:val="21"/>
                <w:lang w:eastAsia="zh-CN"/>
              </w:rPr>
              <w:t>．对政府部门委托的地质勘查任务，要加强对地质勘查单位履约情况的监督，并承担相应行政责任。</w:t>
            </w:r>
            <w:r>
              <w:rPr>
                <w:rFonts w:hint="default" w:ascii="Calibri" w:hAnsi="宋体"/>
                <w:snapToGrid/>
                <w:color w:val="auto"/>
                <w:sz w:val="21"/>
              </w:rPr>
              <w:t>3</w:t>
            </w:r>
            <w:r>
              <w:rPr>
                <w:rFonts w:hint="default" w:ascii="宋体" w:hAnsi="宋体" w:eastAsia="宋体"/>
                <w:snapToGrid/>
                <w:color w:val="auto"/>
                <w:sz w:val="21"/>
                <w:lang w:eastAsia="zh-CN"/>
              </w:rPr>
              <w:t>．对为市场提供服务的地质勘查单位，推行“双随机、一公开”抽查，及时查处违法违规行为。</w:t>
            </w:r>
            <w:r>
              <w:rPr>
                <w:rFonts w:hint="default" w:ascii="Calibri" w:hAnsi="宋体"/>
                <w:snapToGrid/>
                <w:color w:val="auto"/>
                <w:sz w:val="21"/>
              </w:rPr>
              <w:t>4</w:t>
            </w:r>
            <w:r>
              <w:rPr>
                <w:rFonts w:hint="default" w:ascii="宋体" w:hAnsi="宋体" w:eastAsia="宋体"/>
                <w:snapToGrid/>
                <w:color w:val="auto"/>
                <w:sz w:val="21"/>
                <w:lang w:eastAsia="zh-CN"/>
              </w:rPr>
              <w:t>．建立地质勘查单位“黑名单”制度，推动对失信者实行联合惩戒。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2</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经营国际船舶管理业务许可（中资）</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省级交通运输主管部门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《中华人民共和国国际海运条例》</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取消审批后，交通运输主管部门要通过以下措施加强事中事后监管：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．督促国际船舶管理企业按照相关标准和安全管理规范开展业务。</w:t>
            </w:r>
            <w:r>
              <w:rPr>
                <w:rFonts w:hint="default" w:ascii="Calibri" w:hAnsi="宋体"/>
                <w:snapToGrid/>
                <w:color w:val="auto"/>
                <w:sz w:val="21"/>
              </w:rPr>
              <w:t>2</w:t>
            </w:r>
            <w:r>
              <w:rPr>
                <w:rFonts w:hint="default" w:ascii="宋体" w:hAnsi="宋体" w:eastAsia="宋体"/>
                <w:snapToGrid/>
                <w:color w:val="auto"/>
                <w:sz w:val="21"/>
                <w:lang w:eastAsia="zh-CN"/>
              </w:rPr>
              <w:t>．健全有奖举报和舆情监测制度，加快完善举报激励机制，调动公众监督积极性，对举报反映的问题，海事管理机构要认真核实并依法处理。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3</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建设项目水资源论证报告书审批</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省、市、县级水行政主管部门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《国务院对确需保留的行政审批项目设定行政许可的决定》</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取消审批后，水利部要督促地方水行政主管部门通过以下措施加强事中事后监管：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．将建设项目水资源论证的有关技术要求纳入“取水许可”。</w:t>
            </w:r>
            <w:r>
              <w:rPr>
                <w:rFonts w:hint="default" w:ascii="Calibri" w:hAnsi="宋体"/>
                <w:snapToGrid/>
                <w:color w:val="auto"/>
                <w:sz w:val="21"/>
              </w:rPr>
              <w:t>2</w:t>
            </w:r>
            <w:r>
              <w:rPr>
                <w:rFonts w:hint="default" w:ascii="宋体" w:hAnsi="宋体" w:eastAsia="宋体"/>
                <w:snapToGrid/>
                <w:color w:val="auto"/>
                <w:sz w:val="21"/>
                <w:lang w:eastAsia="zh-CN"/>
              </w:rPr>
              <w:t>．在取水许可环节，对水资源论证进行把关，强化取水许可管理。</w:t>
            </w:r>
            <w:r>
              <w:rPr>
                <w:rFonts w:hint="default" w:ascii="Calibri" w:hAnsi="宋体"/>
                <w:snapToGrid/>
                <w:color w:val="auto"/>
                <w:sz w:val="21"/>
              </w:rPr>
              <w:t>3</w:t>
            </w:r>
            <w:r>
              <w:rPr>
                <w:rFonts w:hint="default" w:ascii="宋体" w:hAnsi="宋体" w:eastAsia="宋体"/>
                <w:snapToGrid/>
                <w:color w:val="auto"/>
                <w:sz w:val="21"/>
                <w:lang w:eastAsia="zh-CN"/>
              </w:rPr>
              <w:t>．加强对建设项目用水的监督检查，严厉查处违反规定利用水资源的行为</w:t>
            </w:r>
            <w:r>
              <w:rPr>
                <w:rFonts w:hint="default" w:ascii="Calibri" w:hAnsi="宋体"/>
                <w:snapToGrid/>
                <w:color w:val="auto"/>
                <w:sz w:val="21"/>
              </w:rPr>
              <w:t>，</w:t>
            </w:r>
            <w:r>
              <w:rPr>
                <w:rFonts w:hint="default" w:ascii="宋体" w:hAnsi="宋体" w:eastAsia="宋体"/>
                <w:snapToGrid/>
                <w:color w:val="auto"/>
                <w:sz w:val="21"/>
                <w:lang w:eastAsia="zh-CN"/>
              </w:rPr>
              <w:t>处罚结果纳入国家信用平台，实行联合惩戒。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4</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生产建设项目水土保持设施验收审批</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省、市、县级水行政主管部门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《中华人民共和国水土保持法实施条例》</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取消审批后，水利部要制定水土保持的有关标准和要求，并督促地方水行政主管部门通过以下措施加强事中事后监管：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．要求生产建设单位按标准执行。</w:t>
            </w:r>
            <w:r>
              <w:rPr>
                <w:rFonts w:hint="default" w:ascii="Calibri" w:hAnsi="宋体"/>
                <w:snapToGrid/>
                <w:color w:val="auto"/>
                <w:sz w:val="21"/>
              </w:rPr>
              <w:t>2</w:t>
            </w:r>
            <w:r>
              <w:rPr>
                <w:rFonts w:hint="default" w:ascii="宋体" w:hAnsi="宋体" w:eastAsia="宋体"/>
                <w:snapToGrid/>
                <w:color w:val="auto"/>
                <w:sz w:val="21"/>
                <w:lang w:eastAsia="zh-CN"/>
              </w:rPr>
              <w:t>．明确要求生产建设单位应当加强水土流失监测，在生产建设项目投产使用前，依据经批复的水土保持方案及批复意见，组织第三方机构编制水土保持设施验收报告，向社会公开并向水土保持方案审批机关报备。</w:t>
            </w:r>
            <w:r>
              <w:rPr>
                <w:rFonts w:hint="default" w:ascii="Calibri" w:hAnsi="宋体"/>
                <w:snapToGrid/>
                <w:color w:val="auto"/>
                <w:sz w:val="21"/>
              </w:rPr>
              <w:t>3</w:t>
            </w:r>
            <w:r>
              <w:rPr>
                <w:rFonts w:hint="default" w:ascii="宋体" w:hAnsi="宋体" w:eastAsia="宋体"/>
                <w:snapToGrid/>
                <w:color w:val="auto"/>
                <w:sz w:val="21"/>
                <w:lang w:eastAsia="zh-CN"/>
              </w:rPr>
              <w:t>．加强对水土保持方案实施情况的跟踪检查，依法查处水土保持违法违规行为，处罚结果纳入国家信用平台，实行联合惩戒。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5</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国内海洋渔业船舶制式电台执照审批</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省、市、县级渔业行政主管部门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1"/>
              </w:rPr>
            </w:pPr>
            <w:r>
              <w:rPr>
                <w:rFonts w:hint="default" w:ascii="宋体" w:hAnsi="宋体" w:eastAsia="宋体"/>
                <w:snapToGrid/>
                <w:color w:val="auto"/>
                <w:sz w:val="21"/>
                <w:lang w:eastAsia="zh-CN"/>
              </w:rPr>
              <w:t>《中华人民共和国无线电管理条例》</w:t>
            </w:r>
          </w:p>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《渔业无线电管理规定》（国无管〔</w:t>
            </w:r>
            <w:r>
              <w:rPr>
                <w:rFonts w:hint="default" w:ascii="Calibri" w:hAnsi="宋体"/>
                <w:snapToGrid/>
                <w:color w:val="auto"/>
                <w:sz w:val="21"/>
              </w:rPr>
              <w:t>1996</w:t>
            </w:r>
            <w:r>
              <w:rPr>
                <w:rFonts w:hint="default" w:ascii="宋体" w:hAnsi="宋体" w:eastAsia="宋体"/>
                <w:snapToGrid/>
                <w:color w:val="auto"/>
                <w:sz w:val="21"/>
                <w:lang w:eastAsia="zh-CN"/>
              </w:rPr>
              <w:t>〕</w:t>
            </w:r>
            <w:r>
              <w:rPr>
                <w:rFonts w:hint="default" w:ascii="Calibri" w:hAnsi="宋体"/>
                <w:snapToGrid/>
                <w:color w:val="auto"/>
                <w:sz w:val="21"/>
              </w:rPr>
              <w:t>13</w:t>
            </w:r>
            <w:r>
              <w:rPr>
                <w:rFonts w:hint="default" w:ascii="宋体" w:hAnsi="宋体" w:eastAsia="宋体"/>
                <w:snapToGrid/>
                <w:color w:val="auto"/>
                <w:sz w:val="21"/>
                <w:lang w:eastAsia="zh-CN"/>
              </w:rPr>
              <w:t>号）</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取消审批后，农业部要督促地方渔业行政主管部门通过以下措施加强事中事后监管：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．在渔业船舶出厂检验环节，渔业船舶检验机构要检查渔业船舶设置使用渔业无线电台的环境和条件，并在渔业船舶检验证书中注明电台使用的频段、呼号等信息。</w:t>
            </w:r>
            <w:r>
              <w:rPr>
                <w:rFonts w:hint="default" w:ascii="Calibri" w:hAnsi="宋体"/>
                <w:snapToGrid/>
                <w:color w:val="auto"/>
                <w:sz w:val="21"/>
              </w:rPr>
              <w:t>2</w:t>
            </w:r>
            <w:r>
              <w:rPr>
                <w:rFonts w:hint="default" w:ascii="宋体" w:hAnsi="宋体" w:eastAsia="宋体"/>
                <w:snapToGrid/>
                <w:color w:val="auto"/>
                <w:sz w:val="21"/>
                <w:lang w:eastAsia="zh-CN"/>
              </w:rPr>
              <w:t>．在渔业船舶营运环节，要加强对渔业无线电台使用情况的检查，严厉查处违法违规行为。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6</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电影制片单位设立、变更、终止审批</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省级新闻出版广电行政部门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1"/>
              </w:rPr>
            </w:pPr>
            <w:r>
              <w:rPr>
                <w:rFonts w:hint="default" w:ascii="宋体" w:hAnsi="宋体" w:eastAsia="宋体"/>
                <w:snapToGrid/>
                <w:color w:val="auto"/>
                <w:sz w:val="21"/>
                <w:lang w:eastAsia="zh-CN"/>
              </w:rPr>
              <w:t>《电影管理条例》</w:t>
            </w:r>
          </w:p>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《国务院关于取消和调整一批行政审批项目等事项的决定》（国发〔</w:t>
            </w:r>
            <w:r>
              <w:rPr>
                <w:rFonts w:hint="default" w:ascii="Calibri" w:hAnsi="宋体"/>
                <w:snapToGrid/>
                <w:color w:val="auto"/>
                <w:sz w:val="21"/>
              </w:rPr>
              <w:t>2014</w:t>
            </w:r>
            <w:r>
              <w:rPr>
                <w:rFonts w:hint="default" w:ascii="宋体" w:hAnsi="宋体" w:eastAsia="宋体"/>
                <w:snapToGrid/>
                <w:color w:val="auto"/>
                <w:sz w:val="21"/>
                <w:lang w:eastAsia="zh-CN"/>
              </w:rPr>
              <w:t>〕</w:t>
            </w:r>
            <w:r>
              <w:rPr>
                <w:rFonts w:hint="default" w:ascii="Calibri" w:hAnsi="宋体"/>
                <w:snapToGrid/>
                <w:color w:val="auto"/>
                <w:sz w:val="21"/>
              </w:rPr>
              <w:t>27</w:t>
            </w:r>
            <w:r>
              <w:rPr>
                <w:rFonts w:hint="default" w:ascii="宋体" w:hAnsi="宋体" w:eastAsia="宋体"/>
                <w:snapToGrid/>
                <w:color w:val="auto"/>
                <w:sz w:val="21"/>
                <w:lang w:eastAsia="zh-CN"/>
              </w:rPr>
              <w:t>号）</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取消审批后，新闻出版广电总局要督促地方新闻出版广电行政部门通过以下措施加强事中事后监管：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．从管企业改为重点管电影内容，加强完善电影内容的审查制度。未经审查和审查不合格的电影，不准发行、放映，严把电影内容审查关。</w:t>
            </w:r>
            <w:r>
              <w:rPr>
                <w:rFonts w:hint="default" w:ascii="Calibri" w:hAnsi="宋体"/>
                <w:snapToGrid/>
                <w:color w:val="auto"/>
                <w:sz w:val="21"/>
              </w:rPr>
              <w:t>2</w:t>
            </w:r>
            <w:r>
              <w:rPr>
                <w:rFonts w:hint="default" w:ascii="宋体" w:hAnsi="宋体" w:eastAsia="宋体"/>
                <w:snapToGrid/>
                <w:color w:val="auto"/>
                <w:sz w:val="21"/>
                <w:lang w:eastAsia="zh-CN"/>
              </w:rPr>
              <w:t>．强化市场监管措施，加大对电影内容的抽查力度。</w:t>
            </w:r>
            <w:r>
              <w:rPr>
                <w:rFonts w:hint="default" w:ascii="Calibri" w:hAnsi="宋体"/>
                <w:snapToGrid/>
                <w:color w:val="auto"/>
                <w:sz w:val="21"/>
              </w:rPr>
              <w:t>3</w:t>
            </w:r>
            <w:r>
              <w:rPr>
                <w:rFonts w:hint="default" w:ascii="宋体" w:hAnsi="宋体" w:eastAsia="宋体"/>
                <w:snapToGrid/>
                <w:color w:val="auto"/>
                <w:sz w:val="21"/>
                <w:lang w:eastAsia="zh-CN"/>
              </w:rPr>
              <w:t>．建立信用体系，实行“黑名单”制度，加强社会监督，对违法违规行为加大处罚力度。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7</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建立城市社区有线电视系统审批</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县级新闻出版广电行政部门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1"/>
              </w:rPr>
            </w:pPr>
            <w:r>
              <w:rPr>
                <w:rFonts w:hint="default" w:ascii="宋体" w:hAnsi="宋体" w:eastAsia="宋体"/>
                <w:snapToGrid/>
                <w:color w:val="auto"/>
                <w:sz w:val="21"/>
                <w:lang w:eastAsia="zh-CN"/>
              </w:rPr>
              <w:t>《国务院对确需保留的行政审批项目设定行政许可的决定》</w:t>
            </w:r>
          </w:p>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《国务院关于第六批取消和调整行政审批项目的决定》（国发〔</w:t>
            </w:r>
            <w:r>
              <w:rPr>
                <w:rFonts w:hint="default" w:ascii="Calibri" w:hAnsi="宋体"/>
                <w:snapToGrid/>
                <w:color w:val="auto"/>
                <w:sz w:val="21"/>
              </w:rPr>
              <w:t>2012</w:t>
            </w:r>
            <w:r>
              <w:rPr>
                <w:rFonts w:hint="default" w:ascii="宋体" w:hAnsi="宋体" w:eastAsia="宋体"/>
                <w:snapToGrid/>
                <w:color w:val="auto"/>
                <w:sz w:val="21"/>
                <w:lang w:eastAsia="zh-CN"/>
              </w:rPr>
              <w:t>〕</w:t>
            </w:r>
            <w:r>
              <w:rPr>
                <w:rFonts w:hint="default" w:ascii="Calibri" w:hAnsi="宋体"/>
                <w:snapToGrid/>
                <w:color w:val="auto"/>
                <w:sz w:val="21"/>
              </w:rPr>
              <w:t>52</w:t>
            </w:r>
            <w:r>
              <w:rPr>
                <w:rFonts w:hint="default" w:ascii="宋体" w:hAnsi="宋体" w:eastAsia="宋体"/>
                <w:snapToGrid/>
                <w:color w:val="auto"/>
                <w:sz w:val="21"/>
                <w:lang w:eastAsia="zh-CN"/>
              </w:rPr>
              <w:t>号）</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取消审批后，新闻出版广电总局要督促地方新闻出版广电行政部门通过以下措施加强事中事后监管：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．加强有线电视系统工程的新建、改造等建设管理工作，确保有线电视网络覆盖城市各个社区。</w:t>
            </w:r>
            <w:r>
              <w:rPr>
                <w:rFonts w:hint="default" w:ascii="Calibri" w:hAnsi="宋体"/>
                <w:snapToGrid/>
                <w:color w:val="auto"/>
                <w:sz w:val="21"/>
              </w:rPr>
              <w:t>2</w:t>
            </w:r>
            <w:r>
              <w:rPr>
                <w:rFonts w:hint="default" w:ascii="宋体" w:hAnsi="宋体" w:eastAsia="宋体"/>
                <w:snapToGrid/>
                <w:color w:val="auto"/>
                <w:sz w:val="21"/>
                <w:lang w:eastAsia="zh-CN"/>
              </w:rPr>
              <w:t>．规范有线电视运营企业运营服务和安全，强化内容管理，提高服务质量，加强安全、检修、维护和应急处置等管理。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8</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在林区经营（含加工）木材审批</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省、市、县级林业行政主管部门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《中华人民共和国森林法实施条例》</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取消审批后，国家林业局要督促地方林业行政主管部门通过以下措施加强事中事后监管：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．强化“林木采伐许可证核发”、“木材运输证核发”，从源头上对乱砍滥伐行为强化管理。</w:t>
            </w:r>
            <w:r>
              <w:rPr>
                <w:rFonts w:hint="default" w:ascii="Calibri" w:hAnsi="宋体"/>
                <w:snapToGrid/>
                <w:color w:val="auto"/>
                <w:sz w:val="21"/>
              </w:rPr>
              <w:t>2</w:t>
            </w:r>
            <w:r>
              <w:rPr>
                <w:rFonts w:hint="default" w:ascii="宋体" w:hAnsi="宋体" w:eastAsia="宋体"/>
                <w:snapToGrid/>
                <w:color w:val="auto"/>
                <w:sz w:val="21"/>
                <w:lang w:eastAsia="zh-CN"/>
              </w:rPr>
              <w:t>．加强与工商部门的信息沟通交流，掌握了解从事木材经营加工企业的工商登记信息，并相应加强实地检查、随机抽查，每年抽查比例不低于本地区木材经营加工企业总数的</w:t>
            </w:r>
            <w:r>
              <w:rPr>
                <w:rFonts w:hint="default" w:ascii="Calibri" w:hAnsi="宋体"/>
                <w:snapToGrid/>
                <w:color w:val="auto"/>
                <w:sz w:val="21"/>
              </w:rPr>
              <w:t>20%</w:t>
            </w:r>
            <w:r>
              <w:rPr>
                <w:rFonts w:hint="default" w:ascii="宋体" w:hAnsi="宋体" w:eastAsia="宋体"/>
                <w:snapToGrid/>
                <w:color w:val="auto"/>
                <w:sz w:val="21"/>
                <w:lang w:eastAsia="zh-CN"/>
              </w:rPr>
              <w:t>。重点核查经营（加工）场所是否符合相关规定、审查企业原料和产品入库出库台账、审查木材来源是否合法。</w:t>
            </w:r>
            <w:r>
              <w:rPr>
                <w:rFonts w:hint="default" w:ascii="Calibri" w:hAnsi="宋体"/>
                <w:snapToGrid/>
                <w:color w:val="auto"/>
                <w:sz w:val="21"/>
              </w:rPr>
              <w:t>3</w:t>
            </w:r>
            <w:r>
              <w:rPr>
                <w:rFonts w:hint="default" w:ascii="宋体" w:hAnsi="宋体" w:eastAsia="宋体"/>
                <w:snapToGrid/>
                <w:color w:val="auto"/>
                <w:sz w:val="21"/>
                <w:lang w:eastAsia="zh-CN"/>
              </w:rPr>
              <w:t>．违法违规行为处理结果及时通报工商部门，纳入国家企业信用信息公示系统。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9</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建立固定狩猎场所审批</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省级林业行政主管部门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《中华人民共和国陆生野生动物保护实施条例》</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取消审批后，国家林业局要督促地方林业行政主管部门通过以下措施加强事中事后监管：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强化“国家一级保护陆生野生动物特许猎捕证核发”、“国家二级保护陆生野生动物特许猎捕证核发”、“猎捕非国家重点保护陆生野生动物狩猎证核发”，依据资源状况依法规范核发特许猎捕证、狩猎证，明确狩猎活动区域、时间和狩猎动物种类、数量、方式。</w:t>
            </w:r>
            <w:r>
              <w:rPr>
                <w:rFonts w:hint="default" w:ascii="Calibri" w:hAnsi="宋体"/>
                <w:snapToGrid/>
                <w:color w:val="auto"/>
                <w:sz w:val="21"/>
              </w:rPr>
              <w:t>2</w:t>
            </w:r>
            <w:r>
              <w:rPr>
                <w:rFonts w:hint="default" w:ascii="宋体" w:hAnsi="宋体" w:eastAsia="宋体"/>
                <w:snapToGrid/>
                <w:color w:val="auto"/>
                <w:sz w:val="21"/>
                <w:lang w:eastAsia="zh-CN"/>
              </w:rPr>
              <w:t>．加强野生动物资源监测工作，制定完善监管制度，加大对违法行为的处罚力度，处罚结果纳入国家信用平台，实行联合惩戒。</w:t>
            </w:r>
            <w:r>
              <w:rPr>
                <w:rFonts w:hint="default" w:ascii="Calibri" w:hAnsi="宋体"/>
                <w:snapToGrid/>
                <w:color w:val="auto"/>
                <w:sz w:val="21"/>
              </w:rPr>
              <w:t>3</w:t>
            </w:r>
            <w:r>
              <w:rPr>
                <w:rFonts w:hint="default" w:ascii="宋体" w:hAnsi="宋体" w:eastAsia="宋体"/>
                <w:snapToGrid/>
                <w:color w:val="auto"/>
                <w:sz w:val="21"/>
                <w:lang w:eastAsia="zh-CN"/>
              </w:rPr>
              <w:t>．加大宣传教育力度，畅通举报渠道，充分发挥社会监督作用。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10</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出口国家重点保护的或进出口国际公约限制进出口的陆生野生动物或其产品初审</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省级林业行政主管部门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1"/>
              </w:rPr>
            </w:pPr>
            <w:r>
              <w:rPr>
                <w:rFonts w:hint="default" w:ascii="宋体" w:hAnsi="宋体" w:eastAsia="宋体"/>
                <w:snapToGrid/>
                <w:color w:val="auto"/>
                <w:sz w:val="21"/>
                <w:lang w:eastAsia="zh-CN"/>
              </w:rPr>
              <w:t>《中华人民共和国陆生野生动物保护实施条例》</w:t>
            </w:r>
          </w:p>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《中华人民共和国濒危野生动植物进出口管理条例》</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取消地方初审后，由国家林业局直接受理审批，并通过以下措施加强事中事后监管：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．强化“出口国家重点保护的或进出口国际公约限制进出口的陆生野生动物或其产品审批”，严格把关。</w:t>
            </w:r>
            <w:r>
              <w:rPr>
                <w:rFonts w:hint="default" w:ascii="Calibri" w:hAnsi="宋体"/>
                <w:snapToGrid/>
                <w:color w:val="auto"/>
                <w:sz w:val="21"/>
              </w:rPr>
              <w:t>2</w:t>
            </w:r>
            <w:r>
              <w:rPr>
                <w:rFonts w:hint="default" w:ascii="宋体" w:hAnsi="宋体" w:eastAsia="宋体"/>
                <w:snapToGrid/>
                <w:color w:val="auto"/>
                <w:sz w:val="21"/>
                <w:lang w:eastAsia="zh-CN"/>
              </w:rPr>
              <w:t>．建立完善有效的举报平台或渠道，充分发挥社会监督作用。</w:t>
            </w:r>
            <w:r>
              <w:rPr>
                <w:rFonts w:hint="default" w:ascii="Calibri" w:hAnsi="宋体"/>
                <w:snapToGrid/>
                <w:color w:val="auto"/>
                <w:sz w:val="21"/>
              </w:rPr>
              <w:t>3</w:t>
            </w:r>
            <w:r>
              <w:rPr>
                <w:rFonts w:hint="default" w:ascii="宋体" w:hAnsi="宋体" w:eastAsia="宋体"/>
                <w:snapToGrid/>
                <w:color w:val="auto"/>
                <w:sz w:val="21"/>
                <w:lang w:eastAsia="zh-CN"/>
              </w:rPr>
              <w:t>．加强执法检查，严厉处罚违法违规行为，处罚结果纳入国家信用平台，实行联合惩戒。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11</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外来陆生野生动物物种野外放生初审</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省级林业行政主管部门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《中华人民共和国陆生野生动物保护实施条例》</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取消地方初审后，由国家林业局直接受理审批，并通过以下措施加强事中事后监管：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．国家林业局要制定完善外来陆生野生动物物种野外放生的相关规定，明确放生活动的范围，明确要求除为保护、拯救野生动物而进行的放归自然行为外，其他放生活动一律在限定范围内实施。</w:t>
            </w:r>
            <w:r>
              <w:rPr>
                <w:rFonts w:hint="default" w:ascii="Calibri" w:hAnsi="宋体"/>
                <w:snapToGrid/>
                <w:color w:val="auto"/>
                <w:sz w:val="21"/>
              </w:rPr>
              <w:t>2</w:t>
            </w:r>
            <w:r>
              <w:rPr>
                <w:rFonts w:hint="default" w:ascii="宋体" w:hAnsi="宋体" w:eastAsia="宋体"/>
                <w:snapToGrid/>
                <w:color w:val="auto"/>
                <w:sz w:val="21"/>
                <w:lang w:eastAsia="zh-CN"/>
              </w:rPr>
              <w:t>．强化“外来陆生野生动物物种野外放生审批”，严格把关。</w:t>
            </w:r>
            <w:r>
              <w:rPr>
                <w:rFonts w:hint="default" w:ascii="Calibri" w:hAnsi="宋体"/>
                <w:snapToGrid/>
                <w:color w:val="auto"/>
                <w:sz w:val="21"/>
              </w:rPr>
              <w:t>3</w:t>
            </w:r>
            <w:r>
              <w:rPr>
                <w:rFonts w:hint="default" w:ascii="宋体" w:hAnsi="宋体" w:eastAsia="宋体"/>
                <w:snapToGrid/>
                <w:color w:val="auto"/>
                <w:sz w:val="21"/>
                <w:lang w:eastAsia="zh-CN"/>
              </w:rPr>
              <w:t>．加强执法检查，严格处罚违法违规放生行为，处罚结果纳入国家信用平台。</w:t>
            </w:r>
            <w:r>
              <w:rPr>
                <w:rFonts w:hint="default" w:ascii="Calibri" w:hAnsi="宋体"/>
                <w:snapToGrid/>
                <w:color w:val="auto"/>
                <w:sz w:val="21"/>
              </w:rPr>
              <w:t>4</w:t>
            </w:r>
            <w:r>
              <w:rPr>
                <w:rFonts w:hint="default" w:ascii="宋体" w:hAnsi="宋体" w:eastAsia="宋体"/>
                <w:snapToGrid/>
                <w:color w:val="auto"/>
                <w:sz w:val="21"/>
                <w:lang w:eastAsia="zh-CN"/>
              </w:rPr>
              <w:t>．加大宣传教育力度，设立完善举报平台，充分发挥社会监督作用。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tcMar>
              <w:top w:w="0" w:type="dxa"/>
              <w:left w:w="108" w:type="dxa"/>
              <w:bottom w:w="0" w:type="dxa"/>
              <w:right w:w="108" w:type="dxa"/>
            </w:tcMar>
            <w:vAlign w:val="center"/>
          </w:tcPr>
          <w:p>
            <w:pPr>
              <w:kinsoku/>
              <w:autoSpaceDE/>
              <w:autoSpaceDN w:val="0"/>
              <w:jc w:val="center"/>
              <w:rPr>
                <w:rFonts w:hint="default" w:ascii="Calibri" w:hAnsi="宋体"/>
                <w:snapToGrid/>
                <w:color w:val="auto"/>
                <w:sz w:val="24"/>
              </w:rPr>
            </w:pPr>
            <w:r>
              <w:rPr>
                <w:rFonts w:hint="default" w:ascii="Calibri" w:hAnsi="宋体"/>
                <w:snapToGrid/>
                <w:color w:val="auto"/>
                <w:sz w:val="21"/>
              </w:rPr>
              <w:t>12</w:t>
            </w:r>
          </w:p>
        </w:tc>
        <w:tc>
          <w:tcPr>
            <w:tcW w:w="1510"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海洋工程拆除或者改作他用许可</w:t>
            </w:r>
          </w:p>
        </w:tc>
        <w:tc>
          <w:tcPr>
            <w:tcW w:w="1509"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省、市、县级海洋行政主管部门</w:t>
            </w:r>
          </w:p>
        </w:tc>
        <w:tc>
          <w:tcPr>
            <w:tcW w:w="1661"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《防治海洋工程建设项目污染损害海洋环境管理条例》</w:t>
            </w:r>
          </w:p>
        </w:tc>
        <w:tc>
          <w:tcPr>
            <w:tcW w:w="3677" w:type="dxa"/>
            <w:tcBorders>
              <w:top w:val="outset" w:color="auto" w:sz="6" w:space="0"/>
              <w:left w:val="outset" w:color="auto" w:sz="6" w:space="0"/>
            </w:tcBorders>
            <w:tcMar>
              <w:top w:w="0" w:type="dxa"/>
              <w:left w:w="108" w:type="dxa"/>
              <w:bottom w:w="0" w:type="dxa"/>
              <w:right w:w="108" w:type="dxa"/>
            </w:tcMar>
            <w:vAlign w:val="center"/>
          </w:tcPr>
          <w:p>
            <w:pPr>
              <w:kinsoku/>
              <w:autoSpaceDE/>
              <w:autoSpaceDN w:val="0"/>
              <w:jc w:val="both"/>
              <w:rPr>
                <w:rFonts w:hint="default" w:ascii="Calibri" w:hAnsi="宋体"/>
                <w:snapToGrid/>
                <w:color w:val="auto"/>
                <w:sz w:val="24"/>
              </w:rPr>
            </w:pPr>
            <w:r>
              <w:rPr>
                <w:rFonts w:hint="default" w:ascii="宋体" w:hAnsi="宋体" w:eastAsia="宋体"/>
                <w:snapToGrid/>
                <w:color w:val="auto"/>
                <w:sz w:val="21"/>
                <w:lang w:eastAsia="zh-CN"/>
              </w:rPr>
              <w:t>取消审批后，国家海洋局要制定海洋工程拆除或改作他用的操作规范，并督促地方海洋行政主管部门通过以下措施加强事中事后监管：</w:t>
            </w:r>
            <w:r>
              <w:rPr>
                <w:rFonts w:hint="default" w:ascii="Calibri" w:hAnsi="宋体"/>
                <w:snapToGrid/>
                <w:color w:val="auto"/>
                <w:sz w:val="21"/>
              </w:rPr>
              <w:t>1</w:t>
            </w:r>
            <w:r>
              <w:rPr>
                <w:rFonts w:hint="default" w:ascii="宋体" w:hAnsi="宋体" w:eastAsia="宋体"/>
                <w:snapToGrid/>
                <w:color w:val="auto"/>
                <w:sz w:val="21"/>
                <w:lang w:eastAsia="zh-CN"/>
              </w:rPr>
              <w:t>．对海洋工程需要拆除或者改变用途后可能产生重大环境影响的，强化“海洋工程建设项目海洋环境影响报告核准”，严格把关。</w:t>
            </w:r>
            <w:r>
              <w:rPr>
                <w:rFonts w:hint="default" w:ascii="Calibri" w:hAnsi="宋体"/>
                <w:snapToGrid/>
                <w:color w:val="auto"/>
                <w:sz w:val="21"/>
              </w:rPr>
              <w:t>2</w:t>
            </w:r>
            <w:r>
              <w:rPr>
                <w:rFonts w:hint="default" w:ascii="宋体" w:hAnsi="宋体" w:eastAsia="宋体"/>
                <w:snapToGrid/>
                <w:color w:val="auto"/>
                <w:sz w:val="21"/>
                <w:lang w:eastAsia="zh-CN"/>
              </w:rPr>
              <w:t>．要求施工单位严格按照操作规范执行。</w:t>
            </w:r>
            <w:r>
              <w:rPr>
                <w:rFonts w:hint="default" w:ascii="Calibri" w:hAnsi="宋体"/>
                <w:snapToGrid/>
                <w:color w:val="auto"/>
                <w:sz w:val="21"/>
              </w:rPr>
              <w:t>3</w:t>
            </w:r>
            <w:r>
              <w:rPr>
                <w:rFonts w:hint="default" w:ascii="宋体" w:hAnsi="宋体" w:eastAsia="宋体"/>
                <w:snapToGrid/>
                <w:color w:val="auto"/>
                <w:sz w:val="21"/>
                <w:lang w:eastAsia="zh-CN"/>
              </w:rPr>
              <w:t>．加强监督检查，对违反规范的行为，依法严肃查处。</w:t>
            </w:r>
          </w:p>
        </w:tc>
      </w:tr>
    </w:tbl>
    <w:p>
      <w:pPr>
        <w:rPr>
          <w:color w:val="auto"/>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E793F"/>
    <w:rsid w:val="164E79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2017-11-07T08:49:00Z</dcterms:created>
  <dc:creator>Administrator</dc:creator>
  <cp:lastModifiedBy>Administrator</cp:lastModifiedBy>
  <dcterms:modified xsi:type="dcterms:W3CDTF">2017-11-07T08:50:09Z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